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CD3" w:rsidRDefault="007C0930">
      <w:pPr>
        <w:tabs>
          <w:tab w:val="center" w:pos="581"/>
          <w:tab w:val="center" w:pos="1289"/>
          <w:tab w:val="center" w:pos="1997"/>
          <w:tab w:val="center" w:pos="2705"/>
          <w:tab w:val="center" w:pos="3414"/>
          <w:tab w:val="center" w:pos="4122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nr 12/2019 </w:t>
      </w:r>
    </w:p>
    <w:p w:rsidR="008F7CD3" w:rsidRDefault="007C0930">
      <w:pPr>
        <w:pStyle w:val="Nagwek1"/>
      </w:pPr>
      <w:r>
        <w:t xml:space="preserve">SYLABUS </w:t>
      </w:r>
    </w:p>
    <w:p w:rsidR="008F7CD3" w:rsidRDefault="007C0930">
      <w:pPr>
        <w:spacing w:after="0"/>
        <w:ind w:right="3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i/>
          <w:sz w:val="19"/>
        </w:rPr>
        <w:t xml:space="preserve"> </w:t>
      </w:r>
      <w:r w:rsidR="00CE14A9">
        <w:rPr>
          <w:rFonts w:ascii="Corbel" w:eastAsia="Corbel" w:hAnsi="Corbel" w:cs="Corbel"/>
          <w:i/>
          <w:sz w:val="24"/>
        </w:rPr>
        <w:t>2023-2026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spacing w:after="0" w:line="265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8F7CD3" w:rsidRDefault="007C0930">
      <w:pPr>
        <w:tabs>
          <w:tab w:val="center" w:pos="708"/>
          <w:tab w:val="center" w:pos="1416"/>
          <w:tab w:val="center" w:pos="2124"/>
          <w:tab w:val="center" w:pos="3975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CE14A9">
        <w:rPr>
          <w:rFonts w:ascii="Corbel" w:eastAsia="Corbel" w:hAnsi="Corbel" w:cs="Corbel"/>
          <w:sz w:val="20"/>
        </w:rPr>
        <w:t>Rok akademicki   2023/2024</w:t>
      </w:r>
      <w:bookmarkStart w:id="0" w:name="_GoBack"/>
      <w:bookmarkEnd w:id="0"/>
      <w:r>
        <w:rPr>
          <w:rFonts w:ascii="Corbel" w:eastAsia="Corbel" w:hAnsi="Corbel" w:cs="Corbel"/>
          <w:sz w:val="20"/>
        </w:rPr>
        <w:t xml:space="preserve"> </w:t>
      </w:r>
    </w:p>
    <w:p w:rsidR="008F7CD3" w:rsidRDefault="007C0930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8F7CD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Historia komunikacji </w:t>
            </w:r>
          </w:p>
        </w:tc>
      </w:tr>
      <w:tr w:rsidR="008F7CD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UR/Kolegium Nauk Humanistycznych </w:t>
            </w:r>
          </w:p>
        </w:tc>
      </w:tr>
      <w:tr w:rsidR="008F7CD3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UR </w:t>
            </w:r>
          </w:p>
        </w:tc>
      </w:tr>
      <w:tr w:rsidR="008F7CD3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8F7CD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 stopnia </w:t>
            </w:r>
          </w:p>
        </w:tc>
      </w:tr>
      <w:tr w:rsidR="008F7CD3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8F7CD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semestr I rok </w:t>
            </w:r>
          </w:p>
        </w:tc>
      </w:tr>
      <w:tr w:rsidR="008F7CD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8F7CD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0F3566">
            <w:pPr>
              <w:ind w:left="2"/>
            </w:pPr>
            <w:r w:rsidRPr="000F3566">
              <w:rPr>
                <w:rFonts w:ascii="Corbel" w:eastAsia="Corbel" w:hAnsi="Corbel" w:cs="Corbel"/>
                <w:sz w:val="24"/>
              </w:rPr>
              <w:t>Dr</w:t>
            </w:r>
            <w:r w:rsidR="007C0930">
              <w:rPr>
                <w:rFonts w:ascii="Corbel" w:eastAsia="Corbel" w:hAnsi="Corbel" w:cs="Corbel"/>
                <w:b/>
                <w:sz w:val="24"/>
              </w:rPr>
              <w:t xml:space="preserve"> </w:t>
            </w:r>
            <w:r w:rsidR="007C0930">
              <w:rPr>
                <w:rFonts w:ascii="Corbel" w:eastAsia="Corbel" w:hAnsi="Corbel" w:cs="Corbel"/>
                <w:sz w:val="24"/>
              </w:rPr>
              <w:t xml:space="preserve">hab. Andrzej Bonusiak, prof. UR </w:t>
            </w:r>
          </w:p>
        </w:tc>
      </w:tr>
      <w:tr w:rsidR="008F7CD3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2"/>
            </w:pPr>
            <w:r w:rsidRPr="000F3566">
              <w:rPr>
                <w:rFonts w:ascii="Corbel" w:eastAsia="Corbel" w:hAnsi="Corbel" w:cs="Corbel"/>
                <w:sz w:val="24"/>
              </w:rPr>
              <w:t>Dr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hab. Andrzej Bonusiak, prof. UR </w:t>
            </w:r>
          </w:p>
        </w:tc>
      </w:tr>
    </w:tbl>
    <w:p w:rsidR="008F7CD3" w:rsidRDefault="007C0930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pStyle w:val="Nagwek3"/>
        <w:ind w:left="294" w:right="0"/>
      </w:pPr>
      <w:r>
        <w:t xml:space="preserve">1.1.Formy zajęć dydaktycznych, wymiar godzin i punktów ECTS 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8F7CD3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8F7CD3" w:rsidRDefault="007C0930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8F7CD3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8F7CD3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5" w:line="250" w:lineRule="auto"/>
        <w:ind w:left="709" w:right="6004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24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8F7CD3" w:rsidRDefault="007C0930">
      <w:pPr>
        <w:spacing w:after="0"/>
        <w:ind w:right="155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spacing w:after="0"/>
        <w:ind w:right="12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35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19" w:hanging="10"/>
      </w:pPr>
      <w:r>
        <w:rPr>
          <w:rFonts w:ascii="Corbel" w:eastAsia="Corbel" w:hAnsi="Corbel" w:cs="Corbel"/>
          <w:sz w:val="24"/>
        </w:rPr>
        <w:lastRenderedPageBreak/>
        <w:t xml:space="preserve">Brak </w:t>
      </w:r>
    </w:p>
    <w:p w:rsidR="008F7CD3" w:rsidRDefault="007C0930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pStyle w:val="Nagwek2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pStyle w:val="Nagwek3"/>
        <w:ind w:left="423" w:right="0"/>
      </w:pPr>
      <w:r>
        <w:t xml:space="preserve">3.1 Cele przedmiotu </w:t>
      </w:r>
    </w:p>
    <w:p w:rsidR="008F7CD3" w:rsidRDefault="007C0930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113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8F7CD3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Przekazanie wiedzy dotyczącej ewolucji ekosystemu komunikacyjnego </w:t>
            </w:r>
          </w:p>
        </w:tc>
      </w:tr>
      <w:tr w:rsidR="008F7CD3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Przekazanie wiedzy dotyczącej procesów mediotwórczych  </w:t>
            </w:r>
          </w:p>
        </w:tc>
      </w:tr>
      <w:tr w:rsidR="008F7CD3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Przekazanie wiedzy dotyczącej wpływu komunikacji na działania społeczne </w:t>
            </w:r>
          </w:p>
        </w:tc>
      </w:tr>
      <w:tr w:rsidR="008F7CD3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Przekazanie wiedzy dotyczącej wpływu mediów i opinii społecznej na decyzje polityczne w aspekcie historycznym </w:t>
            </w:r>
          </w:p>
        </w:tc>
      </w:tr>
    </w:tbl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3"/>
        <w:gridCol w:w="5975"/>
        <w:gridCol w:w="1865"/>
      </w:tblGrid>
      <w:tr w:rsidR="008F7CD3">
        <w:trPr>
          <w:trHeight w:val="891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302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Student posiada wiedzę dotyczącą historii komunikacji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H1A_W04 </w:t>
            </w:r>
          </w:p>
        </w:tc>
      </w:tr>
      <w:tr w:rsidR="008F7CD3">
        <w:trPr>
          <w:trHeight w:val="888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Student posiada wiedze dotyczącą wpływu instytucji komunikowania społecznego na procesy narodowo- i kulturotwórcze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H1A_W06 </w:t>
            </w:r>
          </w:p>
        </w:tc>
      </w:tr>
      <w:tr w:rsidR="008F7CD3">
        <w:trPr>
          <w:trHeight w:val="598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Student posiada wiedzę dotyczącą przemian form medialnego wpływu w aspekcie historycznym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S1A_W03 </w:t>
            </w:r>
          </w:p>
        </w:tc>
      </w:tr>
    </w:tbl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3"/>
        <w:ind w:left="423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8F7CD3" w:rsidRDefault="007C093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8F7CD3" w:rsidRDefault="007C0930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8F7CD3">
        <w:trPr>
          <w:trHeight w:val="303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8F7CD3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jako przedmiot analiz historycznych i społecznych </w:t>
            </w:r>
          </w:p>
        </w:tc>
      </w:tr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Najstarsze formy komunikowania się [starożytność – średniowiecze] </w:t>
            </w:r>
          </w:p>
        </w:tc>
      </w:tr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Druk i znaczenie druku dla rozwoju procesów komunikacji człowieka. Książka </w:t>
            </w:r>
          </w:p>
        </w:tc>
      </w:tr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Prasa i czasopiśmiennictwo </w:t>
            </w:r>
          </w:p>
        </w:tc>
      </w:tr>
      <w:tr w:rsidR="008F7CD3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Radio i telewizja </w:t>
            </w:r>
          </w:p>
        </w:tc>
      </w:tr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Internet </w:t>
            </w:r>
          </w:p>
        </w:tc>
      </w:tr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Życie w świecie globalnej informacji </w:t>
            </w:r>
          </w:p>
        </w:tc>
      </w:tr>
    </w:tbl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8F7CD3" w:rsidRDefault="007C0930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  <w:tr w:rsidR="008F7CD3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0"/>
        <w:ind w:left="-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8F7CD3" w:rsidRDefault="007C0930">
      <w:pPr>
        <w:spacing w:after="0" w:line="265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8F7CD3" w:rsidRDefault="007C0930">
      <w:pPr>
        <w:spacing w:after="0" w:line="265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8F7CD3" w:rsidRDefault="007C0930">
      <w:pPr>
        <w:spacing w:after="0" w:line="265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8F7CD3" w:rsidRDefault="007C0930">
      <w:pPr>
        <w:spacing w:after="0" w:line="265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5" w:line="250" w:lineRule="auto"/>
        <w:ind w:left="10" w:hanging="10"/>
      </w:pPr>
      <w:r>
        <w:rPr>
          <w:rFonts w:ascii="Corbel" w:eastAsia="Corbel" w:hAnsi="Corbel" w:cs="Corbel"/>
          <w:sz w:val="24"/>
        </w:rPr>
        <w:t xml:space="preserve">Wykład z prezentacją multimedialną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pStyle w:val="Nagwek3"/>
        <w:ind w:right="0"/>
      </w:pPr>
      <w:r>
        <w:t xml:space="preserve">4. METODY I KRYTERIA OCENY 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pStyle w:val="Nagwek4"/>
        <w:ind w:left="423" w:right="0"/>
      </w:pPr>
      <w:r>
        <w:t xml:space="preserve">4.1 Sposoby weryfikacji efektów uczenia się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4"/>
        <w:gridCol w:w="5442"/>
        <w:gridCol w:w="2117"/>
      </w:tblGrid>
      <w:tr w:rsidR="008F7CD3">
        <w:trPr>
          <w:trHeight w:val="890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8F7CD3" w:rsidRDefault="007C093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8F7CD3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OLOKWIUM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303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19"/>
              </w:rPr>
              <w:t>KOLOKWIUM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19"/>
              </w:rPr>
              <w:t>KOLOKWIUM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4"/>
        <w:ind w:left="423" w:right="0"/>
      </w:pPr>
      <w:r>
        <w:t xml:space="preserve">4.2 Warunki zaliczenia przedmiotu (kryteria oceniania)  </w:t>
      </w:r>
    </w:p>
    <w:p w:rsidR="008F7CD3" w:rsidRDefault="007C0930">
      <w:pPr>
        <w:spacing w:after="226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219" w:hanging="10"/>
      </w:pPr>
      <w:r>
        <w:rPr>
          <w:rFonts w:ascii="Corbel" w:eastAsia="Corbel" w:hAnsi="Corbel" w:cs="Corbel"/>
          <w:sz w:val="24"/>
        </w:rPr>
        <w:t xml:space="preserve">Test zaliczeniowy: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09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19" w:hanging="10"/>
      </w:pPr>
      <w:r>
        <w:rPr>
          <w:rFonts w:ascii="Corbel" w:eastAsia="Corbel" w:hAnsi="Corbel" w:cs="Corbel"/>
          <w:sz w:val="24"/>
        </w:rPr>
        <w:t xml:space="preserve">Na ocenę 2 -  0 – 50% poprawnych odpowiedzi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19" w:hanging="10"/>
      </w:pPr>
      <w:r>
        <w:rPr>
          <w:rFonts w:ascii="Corbel" w:eastAsia="Corbel" w:hAnsi="Corbel" w:cs="Corbel"/>
          <w:sz w:val="24"/>
        </w:rPr>
        <w:t xml:space="preserve">Na ocenę 3 - 51 – 60% poprawnych odpowiedzi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19" w:hanging="10"/>
      </w:pPr>
      <w:r>
        <w:rPr>
          <w:rFonts w:ascii="Corbel" w:eastAsia="Corbel" w:hAnsi="Corbel" w:cs="Corbel"/>
          <w:sz w:val="24"/>
        </w:rPr>
        <w:t xml:space="preserve">Na ocenę 3,5 - 61 – 70% poprawnych odpowiedzi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19" w:hanging="10"/>
      </w:pPr>
      <w:r>
        <w:rPr>
          <w:rFonts w:ascii="Corbel" w:eastAsia="Corbel" w:hAnsi="Corbel" w:cs="Corbel"/>
          <w:sz w:val="24"/>
        </w:rPr>
        <w:t xml:space="preserve">Na ocenę 4 - 71 – 80% poprawnych odpowiedzi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19" w:hanging="10"/>
      </w:pPr>
      <w:r>
        <w:rPr>
          <w:rFonts w:ascii="Corbel" w:eastAsia="Corbel" w:hAnsi="Corbel" w:cs="Corbel"/>
          <w:sz w:val="24"/>
        </w:rPr>
        <w:t xml:space="preserve">Na ocenę 4 - 81 – 90% poprawnych odpowiedzi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19" w:hanging="10"/>
      </w:pPr>
      <w:r>
        <w:rPr>
          <w:rFonts w:ascii="Corbel" w:eastAsia="Corbel" w:hAnsi="Corbel" w:cs="Corbel"/>
          <w:sz w:val="24"/>
        </w:rPr>
        <w:t xml:space="preserve">Na ocenę 5 91 – 100% poprawnych odpowiedzi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09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09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9"/>
      </w:tblGrid>
      <w:tr w:rsidR="008F7CD3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CD3" w:rsidRDefault="007C0930">
            <w:pPr>
              <w:ind w:left="1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8F7CD3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 w:right="1312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8F7CD3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8F7CD3">
        <w:trPr>
          <w:trHeight w:val="1181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33 </w:t>
            </w:r>
          </w:p>
        </w:tc>
      </w:tr>
      <w:tr w:rsidR="008F7CD3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50 </w:t>
            </w:r>
          </w:p>
        </w:tc>
      </w:tr>
      <w:tr w:rsidR="008F7CD3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3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8F7CD3" w:rsidRDefault="007C0930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3"/>
        <w:ind w:right="0"/>
      </w:pPr>
      <w:r>
        <w:t xml:space="preserve">6. PRAKTYKI ZAWODOWE W RAMACH PRZEDMIOTU </w:t>
      </w:r>
    </w:p>
    <w:p w:rsidR="008F7CD3" w:rsidRDefault="007C0930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8F7CD3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Brak  </w:t>
            </w:r>
          </w:p>
        </w:tc>
      </w:tr>
      <w:tr w:rsidR="008F7CD3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</w:tbl>
    <w:p w:rsidR="008F7CD3" w:rsidRDefault="007C09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pStyle w:val="Nagwek3"/>
        <w:ind w:right="0"/>
      </w:pPr>
      <w:r>
        <w:t xml:space="preserve">7. LITERATURA  </w:t>
      </w:r>
    </w:p>
    <w:p w:rsidR="008F7CD3" w:rsidRDefault="007C09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5"/>
      </w:tblGrid>
      <w:tr w:rsidR="008F7CD3">
        <w:trPr>
          <w:trHeight w:val="2821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8F7CD3" w:rsidRDefault="007C0930">
            <w:r>
              <w:rPr>
                <w:rFonts w:ascii="Corbel" w:eastAsia="Corbel" w:hAnsi="Corbel" w:cs="Corbel"/>
              </w:rPr>
              <w:t xml:space="preserve">Zbigniew Bajka. Historia mediów, Kraków 2008. </w:t>
            </w:r>
          </w:p>
          <w:p w:rsidR="008F7CD3" w:rsidRDefault="007C0930">
            <w:pPr>
              <w:spacing w:line="277" w:lineRule="auto"/>
              <w:ind w:left="463" w:hanging="463"/>
            </w:pPr>
            <w:r>
              <w:rPr>
                <w:rFonts w:ascii="Corbel" w:eastAsia="Corbel" w:hAnsi="Corbel" w:cs="Corbel"/>
                <w:sz w:val="20"/>
              </w:rPr>
              <w:t xml:space="preserve">Henry Jenkins, Kultura konwergencji. Zderzenie starych i nowych mediów, Warszawa, WaiP, 2007 </w:t>
            </w:r>
          </w:p>
          <w:p w:rsidR="008F7CD3" w:rsidRDefault="007C0930">
            <w:pPr>
              <w:spacing w:after="19"/>
            </w:pPr>
            <w:r>
              <w:rPr>
                <w:rFonts w:ascii="Corbel" w:eastAsia="Corbel" w:hAnsi="Corbel" w:cs="Corbel"/>
                <w:sz w:val="20"/>
              </w:rPr>
              <w:t xml:space="preserve">Neil Postman, Technopol. Triumf techniki nad kulturą, Warszawa, PIW, 1995 </w:t>
            </w:r>
          </w:p>
          <w:p w:rsidR="008F7CD3" w:rsidRDefault="007C0930">
            <w:pPr>
              <w:spacing w:after="17" w:line="277" w:lineRule="auto"/>
              <w:ind w:left="463" w:hanging="463"/>
            </w:pPr>
            <w:r>
              <w:rPr>
                <w:rFonts w:ascii="Corbel" w:eastAsia="Corbel" w:hAnsi="Corbel" w:cs="Corbel"/>
                <w:sz w:val="20"/>
              </w:rPr>
              <w:t xml:space="preserve">Jan Dijk van, 2010, Społeczne aspekty nowych mediów, Wydawnictwo Naukowe PWN, Warszawa </w:t>
            </w:r>
          </w:p>
          <w:p w:rsidR="008F7CD3" w:rsidRDefault="007C0930">
            <w:pPr>
              <w:spacing w:after="46"/>
            </w:pPr>
            <w:r>
              <w:rPr>
                <w:rFonts w:ascii="Corbel" w:eastAsia="Corbel" w:hAnsi="Corbel" w:cs="Corbel"/>
              </w:rPr>
              <w:t xml:space="preserve">Andrzej Adamski, Media w analogowym i cyfrowym świecie, Warszawa 2012. </w:t>
            </w:r>
          </w:p>
          <w:p w:rsidR="008F7CD3" w:rsidRDefault="007C0930">
            <w:r>
              <w:rPr>
                <w:rFonts w:ascii="Corbel" w:eastAsia="Corbel" w:hAnsi="Corbel" w:cs="Corbel"/>
              </w:rPr>
              <w:t>T</w:t>
            </w:r>
            <w:r>
              <w:rPr>
                <w:rFonts w:ascii="Corbel" w:eastAsia="Corbel" w:hAnsi="Corbel" w:cs="Corbel"/>
                <w:sz w:val="18"/>
              </w:rPr>
              <w:t xml:space="preserve">OMASZ </w:t>
            </w:r>
            <w:r>
              <w:rPr>
                <w:rFonts w:ascii="Corbel" w:eastAsia="Corbel" w:hAnsi="Corbel" w:cs="Corbel"/>
              </w:rPr>
              <w:t>G</w:t>
            </w:r>
            <w:r>
              <w:rPr>
                <w:rFonts w:ascii="Corbel" w:eastAsia="Corbel" w:hAnsi="Corbel" w:cs="Corbel"/>
                <w:sz w:val="18"/>
              </w:rPr>
              <w:t>OBAN</w:t>
            </w:r>
            <w:r>
              <w:rPr>
                <w:rFonts w:ascii="Corbel" w:eastAsia="Corbel" w:hAnsi="Corbel" w:cs="Corbel"/>
              </w:rPr>
              <w:t>-K</w:t>
            </w:r>
            <w:r>
              <w:rPr>
                <w:rFonts w:ascii="Corbel" w:eastAsia="Corbel" w:hAnsi="Corbel" w:cs="Corbel"/>
                <w:sz w:val="18"/>
              </w:rPr>
              <w:t>LAS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>ARYS HISTORII I ROZWOJU MEDIÓW OD MALOWIDEŁ NASKALNYCH DO MULTIMEDIÓW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K</w:t>
            </w:r>
            <w:r>
              <w:rPr>
                <w:rFonts w:ascii="Corbel" w:eastAsia="Corbel" w:hAnsi="Corbel" w:cs="Corbel"/>
                <w:sz w:val="18"/>
              </w:rPr>
              <w:t xml:space="preserve">RAKÓW </w:t>
            </w:r>
            <w:r>
              <w:rPr>
                <w:rFonts w:ascii="Corbel" w:eastAsia="Corbel" w:hAnsi="Corbel" w:cs="Corbel"/>
              </w:rPr>
              <w:t>2001.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F7CD3">
        <w:trPr>
          <w:trHeight w:val="3790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CD3" w:rsidRDefault="007C0930"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8F7CD3" w:rsidRDefault="007C0930">
            <w:pPr>
              <w:spacing w:after="1" w:line="275" w:lineRule="auto"/>
              <w:ind w:left="458" w:hanging="458"/>
            </w:pPr>
            <w:r>
              <w:rPr>
                <w:rFonts w:ascii="Corbel" w:eastAsia="Corbel" w:hAnsi="Corbel" w:cs="Corbel"/>
              </w:rPr>
              <w:t xml:space="preserve">Eco Umberto, Nowe środki masowego przekazu a przyszłość książki (w:) Nowe Media w komunikacji społecznej w XX wieku, (red.) Hopfinger M., Warszawa. </w:t>
            </w:r>
          </w:p>
          <w:p w:rsidR="008F7CD3" w:rsidRDefault="007C0930">
            <w:r>
              <w:rPr>
                <w:rFonts w:ascii="Corbel" w:eastAsia="Corbel" w:hAnsi="Corbel" w:cs="Corbel"/>
              </w:rPr>
              <w:t xml:space="preserve">Bendyk Edwin. 2004. Antymatrix. Człowiek w labiryncie sieci, Warszawa: W.A. </w:t>
            </w:r>
          </w:p>
          <w:p w:rsidR="008F7CD3" w:rsidRDefault="007C0930">
            <w:pPr>
              <w:spacing w:line="277" w:lineRule="auto"/>
              <w:ind w:left="463" w:hanging="463"/>
            </w:pPr>
            <w:r>
              <w:rPr>
                <w:rFonts w:ascii="Corbel" w:eastAsia="Corbel" w:hAnsi="Corbel" w:cs="Corbel"/>
                <w:sz w:val="20"/>
              </w:rPr>
              <w:t xml:space="preserve">Dominik Batorski, Mirosława Marody i Andrzej Nowak (red), Społeczna przestrzeń internetu, Warszawa, Academica, 2006 </w:t>
            </w:r>
          </w:p>
          <w:p w:rsidR="008F7CD3" w:rsidRDefault="007C0930">
            <w:pPr>
              <w:spacing w:after="17" w:line="277" w:lineRule="auto"/>
              <w:ind w:left="463" w:hanging="463"/>
            </w:pPr>
            <w:r>
              <w:rPr>
                <w:rFonts w:ascii="Corbel" w:eastAsia="Corbel" w:hAnsi="Corbel" w:cs="Corbel"/>
                <w:sz w:val="20"/>
              </w:rPr>
              <w:t xml:space="preserve">Marian Golka, Bariery w komunikowaniu i społeczeństwo (dez)informacyjne, Warszawa, Wydawnictwo Naukowe PWN, 2008 </w:t>
            </w:r>
          </w:p>
          <w:p w:rsidR="008F7CD3" w:rsidRDefault="007C0930">
            <w:r>
              <w:t xml:space="preserve">Wendland Michał, Historia idei komunikacji: przesłanki do badań nad przekształceniami zbiorowych wyobrażeń o komunikacji „Lingua ac communitas” vol. 23, 2013 </w:t>
            </w:r>
          </w:p>
        </w:tc>
      </w:tr>
    </w:tbl>
    <w:p w:rsidR="008F7CD3" w:rsidRDefault="007C09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F7CD3" w:rsidRDefault="007C0930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8F7CD3">
      <w:footnotePr>
        <w:numRestart w:val="eachPage"/>
      </w:footnotePr>
      <w:pgSz w:w="11906" w:h="16838"/>
      <w:pgMar w:top="1174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31F" w:rsidRDefault="0048031F">
      <w:pPr>
        <w:spacing w:after="0" w:line="240" w:lineRule="auto"/>
      </w:pPr>
      <w:r>
        <w:separator/>
      </w:r>
    </w:p>
  </w:endnote>
  <w:endnote w:type="continuationSeparator" w:id="0">
    <w:p w:rsidR="0048031F" w:rsidRDefault="00480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31F" w:rsidRDefault="0048031F">
      <w:pPr>
        <w:spacing w:after="0" w:line="266" w:lineRule="auto"/>
      </w:pPr>
      <w:r>
        <w:separator/>
      </w:r>
    </w:p>
  </w:footnote>
  <w:footnote w:type="continuationSeparator" w:id="0">
    <w:p w:rsidR="0048031F" w:rsidRDefault="0048031F">
      <w:pPr>
        <w:spacing w:after="0" w:line="266" w:lineRule="auto"/>
      </w:pPr>
      <w:r>
        <w:continuationSeparator/>
      </w:r>
    </w:p>
  </w:footnote>
  <w:footnote w:id="1">
    <w:p w:rsidR="008F7CD3" w:rsidRDefault="007C0930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2F01"/>
    <w:multiLevelType w:val="hybridMultilevel"/>
    <w:tmpl w:val="1198767C"/>
    <w:lvl w:ilvl="0" w:tplc="0D0E1C4A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AE06C6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4059AE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C05BD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460F16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74724A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8C9A5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F8F59A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285CA4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CD3"/>
    <w:rsid w:val="000F3566"/>
    <w:rsid w:val="0048031F"/>
    <w:rsid w:val="007C0930"/>
    <w:rsid w:val="008F7CD3"/>
    <w:rsid w:val="00A3154D"/>
    <w:rsid w:val="00CE14A9"/>
    <w:rsid w:val="00CF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5CE51"/>
  <w15:docId w15:val="{B17D122E-57E5-4A52-830B-544B2E1AD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/>
      <w:ind w:left="10" w:right="3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851</Words>
  <Characters>5109</Characters>
  <Application>Microsoft Office Word</Application>
  <DocSecurity>0</DocSecurity>
  <Lines>42</Lines>
  <Paragraphs>11</Paragraphs>
  <ScaleCrop>false</ScaleCrop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7</cp:revision>
  <dcterms:created xsi:type="dcterms:W3CDTF">2024-08-09T08:54:00Z</dcterms:created>
  <dcterms:modified xsi:type="dcterms:W3CDTF">2024-10-18T06:33:00Z</dcterms:modified>
</cp:coreProperties>
</file>